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60"/>
        <w:jc w:val="center"/>
      </w:pPr>
      <w:r>
        <w:drawing>
          <wp:inline distT="0" distB="0" distL="0" distR="0">
            <wp:extent cx="2857500" cy="76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857500" cy="762000"/>
                    </a:xfrm>
                    <a:prstGeom prst="rect">
                      <a:avLst/>
                    </a:prstGeom>
                  </pic:spPr>
                </pic:pic>
              </a:graphicData>
            </a:graphic>
          </wp:inline>
        </w:drawing>
      </w:r>
    </w:p>
    <w:p>
      <w:pPr>
        <w:spacing w:after="40"/>
        <w:jc w:val="center"/>
      </w:pPr>
      <w:r>
        <w:rPr>
          <w:rFonts w:ascii="Arial" w:cs="Arial" w:eastAsia="Arial" w:hAnsi="Arial"/>
          <w:b/>
          <w:bCs/>
          <w:color w:val="363C74"/>
          <w:sz w:val="44"/>
          <w:szCs w:val="44"/>
        </w:rPr>
        <w:t xml:space="preserve">PRESENTATION SKILLS</w:t>
      </w:r>
    </w:p>
    <w:p>
      <w:pPr>
        <w:spacing w:after="300"/>
        <w:jc w:val="center"/>
      </w:pPr>
      <w:r>
        <w:rPr>
          <w:rFonts w:ascii="Arial" w:cs="Arial" w:eastAsia="Arial" w:hAnsi="Arial"/>
          <w:b/>
          <w:bCs/>
          <w:color w:val="AF006E"/>
          <w:sz w:val="24"/>
          <w:szCs w:val="24"/>
        </w:rPr>
        <w:t xml:space="preserve">One-Day Development Programme</w:t>
      </w:r>
    </w:p>
    <w:tbl>
      <w:tblPr>
        <w:tblW w:type="dxa" w:w="10506"/>
        <w:tblBorders>
          <w:top w:val="none" w:color="FFFFFF" w:sz="0"/>
          <w:left w:val="none" w:color="FFFFFF" w:sz="0"/>
          <w:bottom w:val="none" w:color="FFFFFF" w:sz="0"/>
          <w:right w:val="none" w:color="FFFFFF" w:sz="0"/>
          <w:insideH w:val="none" w:color="FFFFFF" w:sz="0"/>
          <w:insideV w:val="none" w:color="FFFFFF" w:sz="0"/>
        </w:tblBorders>
      </w:tblPr>
      <w:tblGrid>
        <w:gridCol w:w="3502"/>
        <w:gridCol w:w="3502"/>
        <w:gridCol w:w="3502"/>
      </w:tblGrid>
      <w:tr>
        <w:tc>
          <w:tcPr>
            <w:tcW w:type="dxa" w:w="3502"/>
            <w:tcBorders>
              <w:top w:val="none" w:color="FFFFFF" w:sz="0"/>
              <w:left w:val="none" w:color="FFFFFF" w:sz="0"/>
              <w:bottom w:val="none" w:color="FFFFFF" w:sz="0"/>
              <w:right w:val="none" w:color="FFFFFF" w:sz="0"/>
            </w:tcBorders>
            <w:shd w:fill="363C74" w:val="clear"/>
            <w:tcMar>
              <w:top w:type="dxa" w:w="120"/>
              <w:left w:type="dxa" w:w="160"/>
              <w:bottom w:type="dxa" w:w="120"/>
              <w:right w:type="dxa" w:w="160"/>
            </w:tcMar>
            <w:vAlign w:val="center"/>
          </w:tcPr>
          <w:p>
            <w:pPr>
              <w:spacing w:after="0"/>
              <w:jc w:val="center"/>
            </w:pPr>
            <w:r>
              <w:drawing>
                <wp:inline distT="0" distB="0" distL="0" distR="0">
                  <wp:extent cx="247650" cy="247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FFFFFF"/>
                <w:sz w:val="20"/>
                <w:szCs w:val="20"/>
              </w:rPr>
              <w:t xml:space="preserve">   16 November</w:t>
            </w:r>
          </w:p>
        </w:tc>
        <w:tc>
          <w:tcPr>
            <w:tcW w:type="dxa" w:w="3502"/>
            <w:tcBorders>
              <w:top w:val="none" w:color="FFFFFF" w:sz="0"/>
              <w:left w:val="none" w:color="FFFFFF" w:sz="0"/>
              <w:bottom w:val="none" w:color="FFFFFF" w:sz="0"/>
              <w:right w:val="none" w:color="FFFFFF" w:sz="0"/>
            </w:tcBorders>
            <w:shd w:fill="363C74" w:val="clear"/>
            <w:tcMar>
              <w:top w:type="dxa" w:w="120"/>
              <w:left w:type="dxa" w:w="160"/>
              <w:bottom w:type="dxa" w:w="120"/>
              <w:right w:type="dxa" w:w="160"/>
            </w:tcMar>
            <w:vAlign w:val="center"/>
          </w:tcPr>
          <w:p>
            <w:pPr>
              <w:spacing w:after="0"/>
              <w:jc w:val="center"/>
            </w:pPr>
            <w:r>
              <w:drawing>
                <wp:inline distT="0" distB="0" distL="0" distR="0">
                  <wp:extent cx="247650" cy="247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FFFFFF"/>
                <w:sz w:val="20"/>
                <w:szCs w:val="20"/>
              </w:rPr>
              <w:t xml:space="preserve">   One-Day Course</w:t>
            </w:r>
          </w:p>
        </w:tc>
        <w:tc>
          <w:tcPr>
            <w:tcW w:type="dxa" w:w="3502"/>
            <w:tcBorders>
              <w:top w:val="none" w:color="FFFFFF" w:sz="0"/>
              <w:left w:val="none" w:color="FFFFFF" w:sz="0"/>
              <w:bottom w:val="none" w:color="FFFFFF" w:sz="0"/>
              <w:right w:val="none" w:color="FFFFFF" w:sz="0"/>
            </w:tcBorders>
            <w:shd w:fill="363C74" w:val="clear"/>
            <w:tcMar>
              <w:top w:type="dxa" w:w="120"/>
              <w:left w:type="dxa" w:w="160"/>
              <w:bottom w:type="dxa" w:w="120"/>
              <w:right w:type="dxa" w:w="160"/>
            </w:tcMar>
            <w:vAlign w:val="center"/>
          </w:tcPr>
          <w:p>
            <w:pPr>
              <w:spacing w:after="0"/>
              <w:jc w:val="center"/>
            </w:pPr>
            <w:r>
              <w:drawing>
                <wp:inline distT="0" distB="0" distL="0" distR="0">
                  <wp:extent cx="247650" cy="247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FFFFFF"/>
                <w:sz w:val="20"/>
                <w:szCs w:val="20"/>
              </w:rPr>
              <w:t xml:space="preserve">   £250 per person</w:t>
            </w:r>
          </w:p>
        </w:tc>
      </w:tr>
    </w:tbl>
    <w:p>
      <w:pPr>
        <w:spacing w:after="0" w:before="280"/>
      </w:pPr>
    </w:p>
    <w:p>
      <w:pPr>
        <w:spacing w:after="160" w:line="300"/>
        <w:jc w:val="both"/>
      </w:pPr>
      <w:r>
        <w:rPr>
          <w:rFonts w:ascii="Arial" w:cs="Arial" w:eastAsia="Arial" w:hAnsi="Arial"/>
          <w:b w:val="false"/>
          <w:bCs w:val="false"/>
          <w:i w:val="false"/>
          <w:iCs w:val="false"/>
          <w:color w:val="333333"/>
          <w:sz w:val="21"/>
          <w:szCs w:val="21"/>
        </w:rPr>
        <w:t xml:space="preserve">Confident, clear presentations are essential in today's workplace. This one-day Presentation Skills course will help you plan and deliver presentations that inform, persuade and inspire. Through practical techniques and hands-on practice, you'll develop the confidence, structure and delivery skills needed to communicate your message with impact.</w:t>
      </w:r>
    </w:p>
    <w:tbl>
      <w:tblPr>
        <w:tblW w:type="dxa" w:w="10506"/>
        <w:tblBorders>
          <w:top w:val="none" w:color="FFFFFF" w:sz="0"/>
          <w:left w:val="single" w:color="AF006E" w:sz="24"/>
          <w:bottom w:val="none" w:color="FFFFFF" w:sz="0"/>
          <w:right w:val="none" w:color="FFFFFF" w:sz="0"/>
          <w:insideH w:val="none" w:color="FFFFFF" w:sz="0"/>
          <w:insideV w:val="none" w:color="FFFFFF" w:sz="0"/>
        </w:tblBorders>
      </w:tblPr>
      <w:tblGrid>
        <w:gridCol w:w="100"/>
      </w:tblGrid>
      <w:tr>
        <w:tc>
          <w:tcPr>
            <w:tcW w:type="dxa" w:w="10506"/>
            <w:tcBorders>
              <w:top w:val="none" w:color="FFFFFF" w:sz="0"/>
              <w:left w:val="none" w:color="FFFFFF" w:sz="0"/>
              <w:bottom w:val="none" w:color="FFFFFF" w:sz="0"/>
              <w:right w:val="none" w:color="FFFFFF" w:sz="0"/>
            </w:tcBorders>
            <w:shd w:fill="F0F0F6" w:val="clear"/>
            <w:tcMar>
              <w:top w:type="dxa" w:w="200"/>
              <w:left w:type="dxa" w:w="260"/>
              <w:bottom w:type="dxa" w:w="200"/>
              <w:right w:type="dxa" w:w="260"/>
            </w:tcMar>
            <w:vAlign w:val="center"/>
          </w:tcPr>
          <w:p>
            <w:pPr>
              <w:spacing w:after="100"/>
            </w:pPr>
            <w:r>
              <w:rPr>
                <w:rFonts w:ascii="Arial" w:cs="Arial" w:eastAsia="Arial" w:hAnsi="Arial"/>
                <w:b/>
                <w:bCs/>
                <w:caps/>
                <w:color w:val="363C74"/>
                <w:sz w:val="22"/>
                <w:szCs w:val="22"/>
              </w:rPr>
              <w:t xml:space="preserve">OUR BRAND PROMISE</w:t>
            </w:r>
          </w:p>
          <w:p>
            <w:pPr>
              <w:spacing w:after="0" w:line="300"/>
              <w:jc w:val="both"/>
            </w:pPr>
            <w:r>
              <w:rPr>
                <w:rFonts w:ascii="Arial" w:cs="Arial" w:eastAsia="Arial" w:hAnsi="Arial"/>
                <w:b w:val="false"/>
                <w:bCs w:val="false"/>
                <w:i/>
                <w:iCs/>
                <w:color w:val="333333"/>
                <w:sz w:val="20"/>
                <w:szCs w:val="20"/>
              </w:rPr>
              <w:t xml:space="preserve">This course is delivered by experienced, professional trainers with a strong track record of developing confident presenters across a wide range of organisations. We combine proven best practice with real-world insight, creating a supportive, engaging learning environment where participants feel challenged, encouraged and valued. Every session is carefully designed to be practical, relevant and high quality, ensuring participants leave with skills they can apply immediately and confidence that lasts well beyond the course.</w:t>
            </w:r>
          </w:p>
        </w:tc>
      </w:tr>
    </w:tbl>
    <w:p>
      <w:pPr>
        <w:spacing w:after="180" w:before="400"/>
      </w:pPr>
      <w:r>
        <w:rPr>
          <w:rFonts w:ascii="Arial" w:cs="Arial" w:eastAsia="Arial" w:hAnsi="Arial"/>
          <w:b/>
          <w:bCs/>
          <w:caps/>
          <w:color w:val="363C74"/>
          <w:sz w:val="30"/>
          <w:szCs w:val="30"/>
        </w:rPr>
        <w:t xml:space="preserve">Course Objectives</w:t>
      </w:r>
    </w:p>
    <w:tbl>
      <w:tblPr>
        <w:tblW w:type="dxa" w:w="10506"/>
        <w:tblBorders>
          <w:top w:val="none" w:color="FFFFFF" w:sz="0"/>
          <w:left w:val="none" w:color="FFFFFF" w:sz="0"/>
          <w:bottom w:val="none" w:color="FFFFFF" w:sz="0"/>
          <w:right w:val="none" w:color="FFFFFF" w:sz="0"/>
          <w:insideH w:val="single" w:color="FFFFFF" w:sz="4"/>
          <w:insideV w:val="single" w:color="FFFFFF" w:sz="4"/>
        </w:tblBorders>
      </w:tblPr>
      <w:tblGrid>
        <w:gridCol w:w="5253"/>
        <w:gridCol w:w="5253"/>
      </w:tblGrid>
      <w:tr>
        <w:tc>
          <w:tcPr>
            <w:tcW w:type="dxa" w:w="5253"/>
            <w:tcBorders>
              <w:top w:val="none" w:color="FFFFFF" w:sz="0"/>
              <w:left w:val="none" w:color="FFFFFF" w:sz="0"/>
              <w:bottom w:val="none" w:color="FFFFFF" w:sz="0"/>
              <w:right w:val="none" w:color="FFFFFF" w:sz="0"/>
            </w:tcBorders>
            <w:shd w:fill="F7F7F9" w:val="clear"/>
            <w:tcMar>
              <w:top w:type="dxa" w:w="160"/>
              <w:left w:type="dxa" w:w="180"/>
              <w:bottom w:type="dxa" w:w="160"/>
              <w:right w:type="dxa" w:w="220"/>
            </w:tcMar>
            <w:vAlign w:val="center"/>
          </w:tcPr>
          <w:p>
            <w:pPr>
              <w:spacing w:after="0"/>
            </w:pPr>
            <w:r>
              <w:drawing>
                <wp:inline distT="0" distB="0" distL="0" distR="0">
                  <wp:extent cx="190500" cy="190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90500" cy="190500"/>
                          </a:xfrm>
                          <a:prstGeom prst="rect">
                            <a:avLst/>
                          </a:prstGeom>
                        </pic:spPr>
                      </pic:pic>
                    </a:graphicData>
                  </a:graphic>
                </wp:inline>
              </w:drawing>
            </w:r>
            <w:r>
              <w:rPr>
                <w:rFonts w:ascii="Arial" w:cs="Arial" w:eastAsia="Arial" w:hAnsi="Arial"/>
                <w:color w:val="2B2B2B"/>
                <w:sz w:val="19"/>
                <w:szCs w:val="19"/>
              </w:rPr>
              <w:t xml:space="preserve">  Plan and structure clear, engaging presentations</w:t>
            </w:r>
          </w:p>
        </w:tc>
        <w:tc>
          <w:tcPr>
            <w:tcW w:type="dxa" w:w="5253"/>
            <w:tcBorders>
              <w:top w:val="none" w:color="FFFFFF" w:sz="0"/>
              <w:left w:val="none" w:color="FFFFFF" w:sz="0"/>
              <w:bottom w:val="none" w:color="FFFFFF" w:sz="0"/>
              <w:right w:val="none" w:color="FFFFFF" w:sz="0"/>
            </w:tcBorders>
            <w:shd w:fill="F7F7F9" w:val="clear"/>
            <w:tcMar>
              <w:top w:type="dxa" w:w="160"/>
              <w:left w:type="dxa" w:w="180"/>
              <w:bottom w:type="dxa" w:w="160"/>
              <w:right w:type="dxa" w:w="220"/>
            </w:tcMar>
            <w:vAlign w:val="center"/>
          </w:tcPr>
          <w:p>
            <w:pPr>
              <w:spacing w:after="0"/>
            </w:pPr>
            <w:r>
              <w:drawing>
                <wp:inline distT="0" distB="0" distL="0" distR="0">
                  <wp:extent cx="190500" cy="190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90500" cy="190500"/>
                          </a:xfrm>
                          <a:prstGeom prst="rect">
                            <a:avLst/>
                          </a:prstGeom>
                        </pic:spPr>
                      </pic:pic>
                    </a:graphicData>
                  </a:graphic>
                </wp:inline>
              </w:drawing>
            </w:r>
            <w:r>
              <w:rPr>
                <w:rFonts w:ascii="Arial" w:cs="Arial" w:eastAsia="Arial" w:hAnsi="Arial"/>
                <w:color w:val="2B2B2B"/>
                <w:sz w:val="19"/>
                <w:szCs w:val="19"/>
              </w:rPr>
              <w:t xml:space="preserve">  Present with confidence and credibility</w:t>
            </w:r>
          </w:p>
        </w:tc>
      </w:tr>
      <w:tr>
        <w:tc>
          <w:tcPr>
            <w:tcW w:type="dxa" w:w="5253"/>
            <w:tcBorders>
              <w:top w:val="none" w:color="FFFFFF" w:sz="0"/>
              <w:left w:val="none" w:color="FFFFFF" w:sz="0"/>
              <w:bottom w:val="none" w:color="FFFFFF" w:sz="0"/>
              <w:right w:val="none" w:color="FFFFFF" w:sz="0"/>
            </w:tcBorders>
            <w:shd w:fill="F7F7F9" w:val="clear"/>
            <w:tcMar>
              <w:top w:type="dxa" w:w="160"/>
              <w:left w:type="dxa" w:w="180"/>
              <w:bottom w:type="dxa" w:w="160"/>
              <w:right w:type="dxa" w:w="220"/>
            </w:tcMar>
            <w:vAlign w:val="center"/>
          </w:tcPr>
          <w:p>
            <w:pPr>
              <w:spacing w:after="0"/>
            </w:pPr>
            <w:r>
              <w:drawing>
                <wp:inline distT="0" distB="0" distL="0" distR="0">
                  <wp:extent cx="190500" cy="190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90500" cy="190500"/>
                          </a:xfrm>
                          <a:prstGeom prst="rect">
                            <a:avLst/>
                          </a:prstGeom>
                        </pic:spPr>
                      </pic:pic>
                    </a:graphicData>
                  </a:graphic>
                </wp:inline>
              </w:drawing>
            </w:r>
            <w:r>
              <w:rPr>
                <w:rFonts w:ascii="Arial" w:cs="Arial" w:eastAsia="Arial" w:hAnsi="Arial"/>
                <w:color w:val="2B2B2B"/>
                <w:sz w:val="19"/>
                <w:szCs w:val="19"/>
              </w:rPr>
              <w:t xml:space="preserve">  Use voice, body language, and visual aids effectively</w:t>
            </w:r>
          </w:p>
        </w:tc>
        <w:tc>
          <w:tcPr>
            <w:tcW w:type="dxa" w:w="5253"/>
            <w:tcBorders>
              <w:top w:val="none" w:color="FFFFFF" w:sz="0"/>
              <w:left w:val="none" w:color="FFFFFF" w:sz="0"/>
              <w:bottom w:val="none" w:color="FFFFFF" w:sz="0"/>
              <w:right w:val="none" w:color="FFFFFF" w:sz="0"/>
            </w:tcBorders>
            <w:shd w:fill="F7F7F9" w:val="clear"/>
            <w:tcMar>
              <w:top w:type="dxa" w:w="160"/>
              <w:left w:type="dxa" w:w="180"/>
              <w:bottom w:type="dxa" w:w="160"/>
              <w:right w:type="dxa" w:w="220"/>
            </w:tcMar>
            <w:vAlign w:val="center"/>
          </w:tcPr>
          <w:p>
            <w:pPr>
              <w:spacing w:after="0"/>
            </w:pPr>
            <w:r>
              <w:drawing>
                <wp:inline distT="0" distB="0" distL="0" distR="0">
                  <wp:extent cx="190500" cy="190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90500" cy="190500"/>
                          </a:xfrm>
                          <a:prstGeom prst="rect">
                            <a:avLst/>
                          </a:prstGeom>
                        </pic:spPr>
                      </pic:pic>
                    </a:graphicData>
                  </a:graphic>
                </wp:inline>
              </w:drawing>
            </w:r>
            <w:r>
              <w:rPr>
                <w:rFonts w:ascii="Arial" w:cs="Arial" w:eastAsia="Arial" w:hAnsi="Arial"/>
                <w:color w:val="2B2B2B"/>
                <w:sz w:val="19"/>
                <w:szCs w:val="19"/>
              </w:rPr>
              <w:t xml:space="preserve">  Handle nerves, questions, and challenging audiences</w:t>
            </w:r>
          </w:p>
        </w:tc>
      </w:tr>
      <w:tr>
        <w:tc>
          <w:tcPr>
            <w:tcW w:type="dxa" w:w="5253"/>
            <w:tcBorders>
              <w:top w:val="none" w:color="FFFFFF" w:sz="0"/>
              <w:left w:val="none" w:color="FFFFFF" w:sz="0"/>
              <w:bottom w:val="none" w:color="FFFFFF" w:sz="0"/>
              <w:right w:val="none" w:color="FFFFFF" w:sz="0"/>
            </w:tcBorders>
            <w:shd w:fill="F7F7F9" w:val="clear"/>
            <w:tcMar>
              <w:top w:type="dxa" w:w="160"/>
              <w:left w:type="dxa" w:w="180"/>
              <w:bottom w:type="dxa" w:w="160"/>
              <w:right w:type="dxa" w:w="220"/>
            </w:tcMar>
            <w:vAlign w:val="center"/>
          </w:tcPr>
          <w:p>
            <w:pPr>
              <w:spacing w:after="0"/>
            </w:pPr>
            <w:r>
              <w:drawing>
                <wp:inline distT="0" distB="0" distL="0" distR="0">
                  <wp:extent cx="190500" cy="190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90500" cy="190500"/>
                          </a:xfrm>
                          <a:prstGeom prst="rect">
                            <a:avLst/>
                          </a:prstGeom>
                        </pic:spPr>
                      </pic:pic>
                    </a:graphicData>
                  </a:graphic>
                </wp:inline>
              </w:drawing>
            </w:r>
            <w:r>
              <w:rPr>
                <w:rFonts w:ascii="Arial" w:cs="Arial" w:eastAsia="Arial" w:hAnsi="Arial"/>
                <w:color w:val="2B2B2B"/>
                <w:sz w:val="19"/>
                <w:szCs w:val="19"/>
              </w:rPr>
              <w:t xml:space="preserve">  Adapt their style for different audiences and situations</w:t>
            </w:r>
          </w:p>
        </w:tc>
        <w:tc>
          <w:tcPr>
            <w:tcW w:type="dxa" w:w="5253"/>
            <w:tcBorders>
              <w:top w:val="none" w:color="FFFFFF" w:sz="0"/>
              <w:left w:val="none" w:color="FFFFFF" w:sz="0"/>
              <w:bottom w:val="none" w:color="FFFFFF" w:sz="0"/>
              <w:right w:val="none" w:color="FFFFFF" w:sz="0"/>
            </w:tcBorders>
            <w:shd w:fill="FFFFFF" w:val="clear"/>
            <w:tcMar>
              <w:top w:type="dxa" w:w="120"/>
              <w:left w:type="dxa" w:w="160"/>
              <w:bottom w:type="dxa" w:w="120"/>
              <w:right w:type="dxa" w:w="160"/>
            </w:tcMar>
            <w:vAlign w:val="center"/>
          </w:tcPr>
          <w:p/>
        </w:tc>
      </w:tr>
    </w:tbl>
    <w:p>
      <w:r>
        <w:br w:type="page"/>
      </w:r>
    </w:p>
    <w:p>
      <w:pPr>
        <w:pBdr>
          <w:bottom w:val="single" w:color="AF006E" w:sz="12" w:space="6"/>
        </w:pBdr>
        <w:spacing w:after="240" w:before="0"/>
      </w:pPr>
      <w:r>
        <w:rPr>
          <w:rFonts w:ascii="Arial" w:cs="Arial" w:eastAsia="Arial" w:hAnsi="Arial"/>
          <w:b/>
          <w:bCs/>
          <w:caps/>
          <w:color w:val="363C74"/>
          <w:sz w:val="30"/>
          <w:szCs w:val="30"/>
        </w:rPr>
        <w:t xml:space="preserve">One-Day Programme</w:t>
      </w:r>
    </w:p>
    <w:tbl>
      <w:tblPr>
        <w:tblW w:type="dxa" w:w="10506"/>
        <w:tblBorders>
          <w:top w:val="none" w:color="FFFFFF" w:sz="0"/>
          <w:left w:val="none" w:color="FFFFFF" w:sz="0"/>
          <w:bottom w:val="none" w:color="FFFFFF" w:sz="0"/>
          <w:right w:val="none" w:color="FFFFFF" w:sz="0"/>
          <w:insideH w:val="none" w:color="FFFFFF" w:sz="0"/>
          <w:insideV w:val="none" w:color="FFFFFF" w:sz="0"/>
        </w:tblBorders>
      </w:tblPr>
      <w:tblGrid>
        <w:gridCol w:w="900"/>
        <w:gridCol w:w="9606"/>
      </w:tblGrid>
      <w:tr>
        <w:tc>
          <w:tcPr>
            <w:tcW w:type="dxa" w:w="900"/>
            <w:tcBorders>
              <w:top w:val="none" w:color="FFFFFF" w:sz="0"/>
              <w:left w:val="none" w:color="FFFFFF" w:sz="0"/>
              <w:bottom w:val="none" w:color="FFFFFF" w:sz="0"/>
              <w:right w:val="none" w:color="FFFFFF" w:sz="0"/>
            </w:tcBorders>
            <w:shd w:fill="FFFFFF" w:val="clear"/>
            <w:tcMar>
              <w:top w:type="dxa" w:w="220"/>
              <w:left w:type="dxa" w:w="120"/>
              <w:bottom w:type="dxa" w:w="160"/>
              <w:right w:type="dxa" w:w="60"/>
            </w:tcMar>
            <w:vAlign w:val="top"/>
          </w:tcPr>
          <w:p>
            <w:pPr>
              <w:jc w:val="center"/>
            </w:pPr>
            <w:r>
              <w:drawing>
                <wp:inline distT="0" distB="0" distL="0" distR="0">
                  <wp:extent cx="381000" cy="38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381000" cy="381000"/>
                          </a:xfrm>
                          <a:prstGeom prst="rect">
                            <a:avLst/>
                          </a:prstGeom>
                        </pic:spPr>
                      </pic:pic>
                    </a:graphicData>
                  </a:graphic>
                </wp:inline>
              </w:drawing>
            </w:r>
          </w:p>
        </w:tc>
        <w:tc>
          <w:tcPr>
            <w:tcW w:type="dxa" w:w="9606"/>
            <w:tcBorders>
              <w:top w:val="none" w:color="FFFFFF" w:sz="0"/>
              <w:left w:val="none" w:color="FFFFFF" w:sz="0"/>
              <w:bottom w:val="none" w:color="FFFFFF" w:sz="0"/>
              <w:right w:val="none" w:color="FFFFFF" w:sz="0"/>
            </w:tcBorders>
            <w:shd w:fill="FFFFFF" w:val="clear"/>
            <w:tcMar>
              <w:top w:type="dxa" w:w="160"/>
              <w:left w:type="dxa" w:w="140"/>
              <w:bottom w:type="dxa" w:w="200"/>
              <w:right w:type="dxa" w:w="200"/>
            </w:tcMar>
            <w:vAlign w:val="top"/>
          </w:tcPr>
          <w:p>
            <w:pPr>
              <w:spacing w:after="80" w:before="40"/>
            </w:pPr>
            <w:r>
              <w:rPr>
                <w:rFonts w:ascii="Arial" w:cs="Arial" w:eastAsia="Arial" w:hAnsi="Arial"/>
                <w:b/>
                <w:bCs/>
                <w:color w:val="363C74"/>
                <w:sz w:val="22"/>
                <w:szCs w:val="22"/>
              </w:rPr>
              <w:t xml:space="preserve">Welcome and Course Overview</w:t>
            </w:r>
          </w:p>
          <w:p>
            <w:pPr>
              <w:spacing w:after="90" w:line="280"/>
              <w:ind w:left="260"/>
            </w:pPr>
            <w:r>
              <w:rPr>
                <w:rFonts w:ascii="Arial" w:cs="Arial" w:eastAsia="Arial" w:hAnsi="Arial"/>
                <w:b/>
                <w:bCs/>
                <w:color w:val="AF006E"/>
                <w:sz w:val="20"/>
                <w:szCs w:val="20"/>
              </w:rPr>
              <w:t xml:space="preserve">—  </w:t>
            </w:r>
            <w:r>
              <w:rPr>
                <w:rFonts w:ascii="Arial" w:cs="Arial" w:eastAsia="Arial" w:hAnsi="Arial"/>
                <w:color w:val="333333"/>
                <w:sz w:val="20"/>
                <w:szCs w:val="20"/>
              </w:rPr>
              <w:t xml:space="preserve">Introductions and expectations</w:t>
            </w:r>
          </w:p>
          <w:p>
            <w:pPr>
              <w:spacing w:after="90" w:line="280"/>
              <w:ind w:left="260"/>
            </w:pPr>
            <w:r>
              <w:rPr>
                <w:rFonts w:ascii="Arial" w:cs="Arial" w:eastAsia="Arial" w:hAnsi="Arial"/>
                <w:b/>
                <w:bCs/>
                <w:color w:val="AF006E"/>
                <w:sz w:val="20"/>
                <w:szCs w:val="20"/>
              </w:rPr>
              <w:t xml:space="preserve">—  </w:t>
            </w:r>
            <w:r>
              <w:rPr>
                <w:rFonts w:ascii="Arial" w:cs="Arial" w:eastAsia="Arial" w:hAnsi="Arial"/>
                <w:color w:val="333333"/>
                <w:sz w:val="20"/>
                <w:szCs w:val="20"/>
              </w:rPr>
              <w:t xml:space="preserve">What makes a great presentation?</w:t>
            </w:r>
          </w:p>
          <w:p>
            <w:pPr>
              <w:spacing w:after="90" w:line="280"/>
              <w:ind w:left="260"/>
            </w:pPr>
            <w:r>
              <w:rPr>
                <w:rFonts w:ascii="Arial" w:cs="Arial" w:eastAsia="Arial" w:hAnsi="Arial"/>
                <w:b/>
                <w:bCs/>
                <w:color w:val="AF006E"/>
                <w:sz w:val="20"/>
                <w:szCs w:val="20"/>
              </w:rPr>
              <w:t xml:space="preserve">—  </w:t>
            </w:r>
            <w:r>
              <w:rPr>
                <w:rFonts w:ascii="Arial" w:cs="Arial" w:eastAsia="Arial" w:hAnsi="Arial"/>
                <w:color w:val="333333"/>
                <w:sz w:val="20"/>
                <w:szCs w:val="20"/>
              </w:rPr>
              <w:t xml:space="preserve">Setting personal goals for the course</w:t>
            </w:r>
          </w:p>
        </w:tc>
      </w:tr>
      <w:tr>
        <w:tc>
          <w:tcPr>
            <w:tcW w:type="dxa" w:w="900"/>
            <w:tcBorders>
              <w:top w:val="none" w:color="FFFFFF" w:sz="0"/>
              <w:left w:val="none" w:color="FFFFFF" w:sz="0"/>
              <w:bottom w:val="none" w:color="FFFFFF" w:sz="0"/>
              <w:right w:val="none" w:color="FFFFFF" w:sz="0"/>
            </w:tcBorders>
            <w:shd w:fill="F7F7F9" w:val="clear"/>
            <w:tcMar>
              <w:top w:type="dxa" w:w="220"/>
              <w:left w:type="dxa" w:w="120"/>
              <w:bottom w:type="dxa" w:w="160"/>
              <w:right w:type="dxa" w:w="60"/>
            </w:tcMar>
            <w:vAlign w:val="top"/>
          </w:tcPr>
          <w:p>
            <w:pPr>
              <w:jc w:val="center"/>
            </w:pPr>
            <w:r>
              <w:drawing>
                <wp:inline distT="0" distB="0" distL="0" distR="0">
                  <wp:extent cx="381000" cy="38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381000" cy="381000"/>
                          </a:xfrm>
                          <a:prstGeom prst="rect">
                            <a:avLst/>
                          </a:prstGeom>
                        </pic:spPr>
                      </pic:pic>
                    </a:graphicData>
                  </a:graphic>
                </wp:inline>
              </w:drawing>
            </w:r>
          </w:p>
        </w:tc>
        <w:tc>
          <w:tcPr>
            <w:tcW w:type="dxa" w:w="9606"/>
            <w:tcBorders>
              <w:top w:val="none" w:color="FFFFFF" w:sz="0"/>
              <w:left w:val="none" w:color="FFFFFF" w:sz="0"/>
              <w:bottom w:val="none" w:color="FFFFFF" w:sz="0"/>
              <w:right w:val="none" w:color="FFFFFF" w:sz="0"/>
            </w:tcBorders>
            <w:shd w:fill="F7F7F9" w:val="clear"/>
            <w:tcMar>
              <w:top w:type="dxa" w:w="160"/>
              <w:left w:type="dxa" w:w="140"/>
              <w:bottom w:type="dxa" w:w="200"/>
              <w:right w:type="dxa" w:w="200"/>
            </w:tcMar>
            <w:vAlign w:val="top"/>
          </w:tcPr>
          <w:p>
            <w:pPr>
              <w:spacing w:after="80" w:before="40"/>
            </w:pPr>
            <w:r>
              <w:rPr>
                <w:rFonts w:ascii="Arial" w:cs="Arial" w:eastAsia="Arial" w:hAnsi="Arial"/>
                <w:b/>
                <w:bCs/>
                <w:color w:val="363C74"/>
                <w:sz w:val="22"/>
                <w:szCs w:val="22"/>
              </w:rPr>
              <w:t xml:space="preserve">Understanding Your Audience</w:t>
            </w:r>
          </w:p>
          <w:p>
            <w:pPr>
              <w:spacing w:after="90" w:line="280"/>
              <w:ind w:left="260"/>
            </w:pPr>
            <w:r>
              <w:rPr>
                <w:rFonts w:ascii="Arial" w:cs="Arial" w:eastAsia="Arial" w:hAnsi="Arial"/>
                <w:b/>
                <w:bCs/>
                <w:color w:val="AF006E"/>
                <w:sz w:val="20"/>
                <w:szCs w:val="20"/>
              </w:rPr>
              <w:t xml:space="preserve">—  </w:t>
            </w:r>
            <w:r>
              <w:rPr>
                <w:rFonts w:ascii="Arial" w:cs="Arial" w:eastAsia="Arial" w:hAnsi="Arial"/>
                <w:color w:val="333333"/>
                <w:sz w:val="20"/>
                <w:szCs w:val="20"/>
              </w:rPr>
              <w:t xml:space="preserve">Identifying audience needs and expectations</w:t>
            </w:r>
          </w:p>
          <w:p>
            <w:pPr>
              <w:spacing w:after="90" w:line="280"/>
              <w:ind w:left="260"/>
            </w:pPr>
            <w:r>
              <w:rPr>
                <w:rFonts w:ascii="Arial" w:cs="Arial" w:eastAsia="Arial" w:hAnsi="Arial"/>
                <w:b/>
                <w:bCs/>
                <w:color w:val="AF006E"/>
                <w:sz w:val="20"/>
                <w:szCs w:val="20"/>
              </w:rPr>
              <w:t xml:space="preserve">—  </w:t>
            </w:r>
            <w:r>
              <w:rPr>
                <w:rFonts w:ascii="Arial" w:cs="Arial" w:eastAsia="Arial" w:hAnsi="Arial"/>
                <w:color w:val="333333"/>
                <w:sz w:val="20"/>
                <w:szCs w:val="20"/>
              </w:rPr>
              <w:t xml:space="preserve">Adapting content and style</w:t>
            </w:r>
          </w:p>
          <w:p>
            <w:pPr>
              <w:spacing w:after="90" w:line="280"/>
              <w:ind w:left="260"/>
            </w:pPr>
            <w:r>
              <w:rPr>
                <w:rFonts w:ascii="Arial" w:cs="Arial" w:eastAsia="Arial" w:hAnsi="Arial"/>
                <w:b/>
                <w:bCs/>
                <w:color w:val="AF006E"/>
                <w:sz w:val="20"/>
                <w:szCs w:val="20"/>
              </w:rPr>
              <w:t xml:space="preserve">—  </w:t>
            </w:r>
            <w:r>
              <w:rPr>
                <w:rFonts w:ascii="Arial" w:cs="Arial" w:eastAsia="Arial" w:hAnsi="Arial"/>
                <w:color w:val="333333"/>
                <w:sz w:val="20"/>
                <w:szCs w:val="20"/>
              </w:rPr>
              <w:t xml:space="preserve">Defining a clear purpose and message</w:t>
            </w:r>
          </w:p>
          <w:p>
            <w:pPr>
              <w:spacing w:after="90" w:line="280"/>
              <w:ind w:left="260"/>
            </w:pPr>
            <w:r>
              <w:rPr>
                <w:rFonts w:ascii="Arial" w:cs="Arial" w:eastAsia="Arial" w:hAnsi="Arial"/>
                <w:b/>
                <w:bCs/>
                <w:color w:val="AF006E"/>
                <w:sz w:val="20"/>
                <w:szCs w:val="20"/>
              </w:rPr>
              <w:t xml:space="preserve">—  </w:t>
            </w:r>
            <w:r>
              <w:rPr>
                <w:rFonts w:ascii="Arial" w:cs="Arial" w:eastAsia="Arial" w:hAnsi="Arial"/>
                <w:color w:val="333333"/>
                <w:sz w:val="20"/>
                <w:szCs w:val="20"/>
              </w:rPr>
              <w:t xml:space="preserve">Activity: analyse a sample audience and tailor a message</w:t>
            </w:r>
          </w:p>
        </w:tc>
      </w:tr>
      <w:tr>
        <w:tc>
          <w:tcPr>
            <w:tcW w:type="dxa" w:w="900"/>
            <w:tcBorders>
              <w:top w:val="none" w:color="FFFFFF" w:sz="0"/>
              <w:left w:val="none" w:color="FFFFFF" w:sz="0"/>
              <w:bottom w:val="none" w:color="FFFFFF" w:sz="0"/>
              <w:right w:val="none" w:color="FFFFFF" w:sz="0"/>
            </w:tcBorders>
            <w:shd w:fill="FFFFFF" w:val="clear"/>
            <w:tcMar>
              <w:top w:type="dxa" w:w="220"/>
              <w:left w:type="dxa" w:w="120"/>
              <w:bottom w:type="dxa" w:w="160"/>
              <w:right w:type="dxa" w:w="60"/>
            </w:tcMar>
            <w:vAlign w:val="top"/>
          </w:tcPr>
          <w:p>
            <w:pPr>
              <w:jc w:val="center"/>
            </w:pPr>
            <w:r>
              <w:drawing>
                <wp:inline distT="0" distB="0" distL="0" distR="0">
                  <wp:extent cx="381000" cy="38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381000" cy="381000"/>
                          </a:xfrm>
                          <a:prstGeom prst="rect">
                            <a:avLst/>
                          </a:prstGeom>
                        </pic:spPr>
                      </pic:pic>
                    </a:graphicData>
                  </a:graphic>
                </wp:inline>
              </w:drawing>
            </w:r>
          </w:p>
        </w:tc>
        <w:tc>
          <w:tcPr>
            <w:tcW w:type="dxa" w:w="9606"/>
            <w:tcBorders>
              <w:top w:val="none" w:color="FFFFFF" w:sz="0"/>
              <w:left w:val="none" w:color="FFFFFF" w:sz="0"/>
              <w:bottom w:val="none" w:color="FFFFFF" w:sz="0"/>
              <w:right w:val="none" w:color="FFFFFF" w:sz="0"/>
            </w:tcBorders>
            <w:shd w:fill="FFFFFF" w:val="clear"/>
            <w:tcMar>
              <w:top w:type="dxa" w:w="160"/>
              <w:left w:type="dxa" w:w="140"/>
              <w:bottom w:type="dxa" w:w="200"/>
              <w:right w:type="dxa" w:w="200"/>
            </w:tcMar>
            <w:vAlign w:val="top"/>
          </w:tcPr>
          <w:p>
            <w:pPr>
              <w:spacing w:after="80" w:before="40"/>
            </w:pPr>
            <w:r>
              <w:rPr>
                <w:rFonts w:ascii="Arial" w:cs="Arial" w:eastAsia="Arial" w:hAnsi="Arial"/>
                <w:b/>
                <w:bCs/>
                <w:color w:val="363C74"/>
                <w:sz w:val="22"/>
                <w:szCs w:val="22"/>
              </w:rPr>
              <w:t xml:space="preserve">Structuring Your Presentation</w:t>
            </w:r>
          </w:p>
          <w:p>
            <w:pPr>
              <w:spacing w:after="90" w:line="280"/>
              <w:ind w:left="260"/>
            </w:pPr>
            <w:r>
              <w:rPr>
                <w:rFonts w:ascii="Arial" w:cs="Arial" w:eastAsia="Arial" w:hAnsi="Arial"/>
                <w:b/>
                <w:bCs/>
                <w:color w:val="AF006E"/>
                <w:sz w:val="20"/>
                <w:szCs w:val="20"/>
              </w:rPr>
              <w:t xml:space="preserve">—  </w:t>
            </w:r>
            <w:r>
              <w:rPr>
                <w:rFonts w:ascii="Arial" w:cs="Arial" w:eastAsia="Arial" w:hAnsi="Arial"/>
                <w:color w:val="333333"/>
                <w:sz w:val="20"/>
                <w:szCs w:val="20"/>
              </w:rPr>
              <w:t xml:space="preserve">Clear openings, middles and endings</w:t>
            </w:r>
          </w:p>
          <w:p>
            <w:pPr>
              <w:spacing w:after="90" w:line="280"/>
              <w:ind w:left="260"/>
            </w:pPr>
            <w:r>
              <w:rPr>
                <w:rFonts w:ascii="Arial" w:cs="Arial" w:eastAsia="Arial" w:hAnsi="Arial"/>
                <w:b/>
                <w:bCs/>
                <w:color w:val="AF006E"/>
                <w:sz w:val="20"/>
                <w:szCs w:val="20"/>
              </w:rPr>
              <w:t xml:space="preserve">—  </w:t>
            </w:r>
            <w:r>
              <w:rPr>
                <w:rFonts w:ascii="Arial" w:cs="Arial" w:eastAsia="Arial" w:hAnsi="Arial"/>
                <w:color w:val="333333"/>
                <w:sz w:val="20"/>
                <w:szCs w:val="20"/>
              </w:rPr>
              <w:t xml:space="preserve">Creating strong key messages</w:t>
            </w:r>
          </w:p>
          <w:p>
            <w:pPr>
              <w:spacing w:after="90" w:line="280"/>
              <w:ind w:left="260"/>
            </w:pPr>
            <w:r>
              <w:rPr>
                <w:rFonts w:ascii="Arial" w:cs="Arial" w:eastAsia="Arial" w:hAnsi="Arial"/>
                <w:b/>
                <w:bCs/>
                <w:color w:val="AF006E"/>
                <w:sz w:val="20"/>
                <w:szCs w:val="20"/>
              </w:rPr>
              <w:t xml:space="preserve">—  </w:t>
            </w:r>
            <w:r>
              <w:rPr>
                <w:rFonts w:ascii="Arial" w:cs="Arial" w:eastAsia="Arial" w:hAnsi="Arial"/>
                <w:color w:val="333333"/>
                <w:sz w:val="20"/>
                <w:szCs w:val="20"/>
              </w:rPr>
              <w:t xml:space="preserve">Using stories, examples and evidence</w:t>
            </w:r>
          </w:p>
          <w:p>
            <w:pPr>
              <w:spacing w:after="90" w:line="280"/>
              <w:ind w:left="260"/>
            </w:pPr>
            <w:r>
              <w:rPr>
                <w:rFonts w:ascii="Arial" w:cs="Arial" w:eastAsia="Arial" w:hAnsi="Arial"/>
                <w:b/>
                <w:bCs/>
                <w:color w:val="AF006E"/>
                <w:sz w:val="20"/>
                <w:szCs w:val="20"/>
              </w:rPr>
              <w:t xml:space="preserve">—  </w:t>
            </w:r>
            <w:r>
              <w:rPr>
                <w:rFonts w:ascii="Arial" w:cs="Arial" w:eastAsia="Arial" w:hAnsi="Arial"/>
                <w:color w:val="333333"/>
                <w:sz w:val="20"/>
                <w:szCs w:val="20"/>
              </w:rPr>
              <w:t xml:space="preserve">Signposting and flow</w:t>
            </w:r>
          </w:p>
          <w:p>
            <w:pPr>
              <w:spacing w:after="90" w:line="280"/>
              <w:ind w:left="260"/>
            </w:pPr>
            <w:r>
              <w:rPr>
                <w:rFonts w:ascii="Arial" w:cs="Arial" w:eastAsia="Arial" w:hAnsi="Arial"/>
                <w:b/>
                <w:bCs/>
                <w:color w:val="AF006E"/>
                <w:sz w:val="20"/>
                <w:szCs w:val="20"/>
              </w:rPr>
              <w:t xml:space="preserve">—  </w:t>
            </w:r>
            <w:r>
              <w:rPr>
                <w:rFonts w:ascii="Arial" w:cs="Arial" w:eastAsia="Arial" w:hAnsi="Arial"/>
                <w:color w:val="333333"/>
                <w:sz w:val="20"/>
                <w:szCs w:val="20"/>
              </w:rPr>
              <w:t xml:space="preserve">Activity: build a simple presentation structure</w:t>
            </w:r>
          </w:p>
        </w:tc>
      </w:tr>
      <w:tr>
        <w:tc>
          <w:tcPr>
            <w:tcW w:type="dxa" w:w="900"/>
            <w:tcBorders>
              <w:top w:val="none" w:color="FFFFFF" w:sz="0"/>
              <w:left w:val="none" w:color="FFFFFF" w:sz="0"/>
              <w:bottom w:val="none" w:color="FFFFFF" w:sz="0"/>
              <w:right w:val="none" w:color="FFFFFF" w:sz="0"/>
            </w:tcBorders>
            <w:shd w:fill="F7F7F9" w:val="clear"/>
            <w:tcMar>
              <w:top w:type="dxa" w:w="220"/>
              <w:left w:type="dxa" w:w="120"/>
              <w:bottom w:type="dxa" w:w="160"/>
              <w:right w:type="dxa" w:w="60"/>
            </w:tcMar>
            <w:vAlign w:val="top"/>
          </w:tcPr>
          <w:p>
            <w:pPr>
              <w:jc w:val="center"/>
            </w:pPr>
            <w:r>
              <w:drawing>
                <wp:inline distT="0" distB="0" distL="0" distR="0">
                  <wp:extent cx="381000" cy="38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381000" cy="381000"/>
                          </a:xfrm>
                          <a:prstGeom prst="rect">
                            <a:avLst/>
                          </a:prstGeom>
                        </pic:spPr>
                      </pic:pic>
                    </a:graphicData>
                  </a:graphic>
                </wp:inline>
              </w:drawing>
            </w:r>
          </w:p>
        </w:tc>
        <w:tc>
          <w:tcPr>
            <w:tcW w:type="dxa" w:w="9606"/>
            <w:tcBorders>
              <w:top w:val="none" w:color="FFFFFF" w:sz="0"/>
              <w:left w:val="none" w:color="FFFFFF" w:sz="0"/>
              <w:bottom w:val="none" w:color="FFFFFF" w:sz="0"/>
              <w:right w:val="none" w:color="FFFFFF" w:sz="0"/>
            </w:tcBorders>
            <w:shd w:fill="F7F7F9" w:val="clear"/>
            <w:tcMar>
              <w:top w:type="dxa" w:w="160"/>
              <w:left w:type="dxa" w:w="140"/>
              <w:bottom w:type="dxa" w:w="200"/>
              <w:right w:type="dxa" w:w="200"/>
            </w:tcMar>
            <w:vAlign w:val="top"/>
          </w:tcPr>
          <w:p>
            <w:pPr>
              <w:spacing w:after="80" w:before="40"/>
            </w:pPr>
            <w:r>
              <w:rPr>
                <w:rFonts w:ascii="Arial" w:cs="Arial" w:eastAsia="Arial" w:hAnsi="Arial"/>
                <w:b/>
                <w:bCs/>
                <w:color w:val="363C74"/>
                <w:sz w:val="22"/>
                <w:szCs w:val="22"/>
              </w:rPr>
              <w:t xml:space="preserve">Managing Nerves, Confidence, Voice and Body Language</w:t>
            </w:r>
          </w:p>
          <w:p>
            <w:pPr>
              <w:spacing w:after="90" w:line="280"/>
              <w:ind w:left="260"/>
            </w:pPr>
            <w:r>
              <w:rPr>
                <w:rFonts w:ascii="Arial" w:cs="Arial" w:eastAsia="Arial" w:hAnsi="Arial"/>
                <w:b/>
                <w:bCs/>
                <w:color w:val="AF006E"/>
                <w:sz w:val="20"/>
                <w:szCs w:val="20"/>
              </w:rPr>
              <w:t xml:space="preserve">—  </w:t>
            </w:r>
            <w:r>
              <w:rPr>
                <w:rFonts w:ascii="Arial" w:cs="Arial" w:eastAsia="Arial" w:hAnsi="Arial"/>
                <w:color w:val="333333"/>
                <w:sz w:val="20"/>
                <w:szCs w:val="20"/>
              </w:rPr>
              <w:t xml:space="preserve">Understanding presentation anxiety and practical tools to reduce nerves</w:t>
            </w:r>
          </w:p>
          <w:p>
            <w:pPr>
              <w:spacing w:after="90" w:line="280"/>
              <w:ind w:left="260"/>
            </w:pPr>
            <w:r>
              <w:rPr>
                <w:rFonts w:ascii="Arial" w:cs="Arial" w:eastAsia="Arial" w:hAnsi="Arial"/>
                <w:b/>
                <w:bCs/>
                <w:color w:val="AF006E"/>
                <w:sz w:val="20"/>
                <w:szCs w:val="20"/>
              </w:rPr>
              <w:t xml:space="preserve">—  </w:t>
            </w:r>
            <w:r>
              <w:rPr>
                <w:rFonts w:ascii="Arial" w:cs="Arial" w:eastAsia="Arial" w:hAnsi="Arial"/>
                <w:color w:val="333333"/>
                <w:sz w:val="20"/>
                <w:szCs w:val="20"/>
              </w:rPr>
              <w:t xml:space="preserve">Developing a confident mindset; breathing and focusing techniques</w:t>
            </w:r>
          </w:p>
          <w:p>
            <w:pPr>
              <w:spacing w:after="90" w:line="280"/>
              <w:ind w:left="260"/>
            </w:pPr>
            <w:r>
              <w:rPr>
                <w:rFonts w:ascii="Arial" w:cs="Arial" w:eastAsia="Arial" w:hAnsi="Arial"/>
                <w:b/>
                <w:bCs/>
                <w:color w:val="AF006E"/>
                <w:sz w:val="20"/>
                <w:szCs w:val="20"/>
              </w:rPr>
              <w:t xml:space="preserve">—  </w:t>
            </w:r>
            <w:r>
              <w:rPr>
                <w:rFonts w:ascii="Arial" w:cs="Arial" w:eastAsia="Arial" w:hAnsi="Arial"/>
                <w:color w:val="333333"/>
                <w:sz w:val="20"/>
                <w:szCs w:val="20"/>
              </w:rPr>
              <w:t xml:space="preserve">Voice: pace, tone, volume and emphasis</w:t>
            </w:r>
          </w:p>
          <w:p>
            <w:pPr>
              <w:spacing w:after="90" w:line="280"/>
              <w:ind w:left="260"/>
            </w:pPr>
            <w:r>
              <w:rPr>
                <w:rFonts w:ascii="Arial" w:cs="Arial" w:eastAsia="Arial" w:hAnsi="Arial"/>
                <w:b/>
                <w:bCs/>
                <w:color w:val="AF006E"/>
                <w:sz w:val="20"/>
                <w:szCs w:val="20"/>
              </w:rPr>
              <w:t xml:space="preserve">—  </w:t>
            </w:r>
            <w:r>
              <w:rPr>
                <w:rFonts w:ascii="Arial" w:cs="Arial" w:eastAsia="Arial" w:hAnsi="Arial"/>
                <w:color w:val="333333"/>
                <w:sz w:val="20"/>
                <w:szCs w:val="20"/>
              </w:rPr>
              <w:t xml:space="preserve">Body language: posture, gestures, eye contact</w:t>
            </w:r>
          </w:p>
          <w:p>
            <w:pPr>
              <w:spacing w:after="90" w:line="280"/>
              <w:ind w:left="260"/>
            </w:pPr>
            <w:r>
              <w:rPr>
                <w:rFonts w:ascii="Arial" w:cs="Arial" w:eastAsia="Arial" w:hAnsi="Arial"/>
                <w:b/>
                <w:bCs/>
                <w:color w:val="AF006E"/>
                <w:sz w:val="20"/>
                <w:szCs w:val="20"/>
              </w:rPr>
              <w:t xml:space="preserve">—  </w:t>
            </w:r>
            <w:r>
              <w:rPr>
                <w:rFonts w:ascii="Arial" w:cs="Arial" w:eastAsia="Arial" w:hAnsi="Arial"/>
                <w:color w:val="333333"/>
                <w:sz w:val="20"/>
                <w:szCs w:val="20"/>
              </w:rPr>
              <w:t xml:space="preserve">Aligning verbal and non-verbal messages</w:t>
            </w:r>
          </w:p>
          <w:p>
            <w:pPr>
              <w:spacing w:after="90" w:line="280"/>
              <w:ind w:left="260"/>
            </w:pPr>
            <w:r>
              <w:rPr>
                <w:rFonts w:ascii="Arial" w:cs="Arial" w:eastAsia="Arial" w:hAnsi="Arial"/>
                <w:b/>
                <w:bCs/>
                <w:color w:val="AF006E"/>
                <w:sz w:val="20"/>
                <w:szCs w:val="20"/>
              </w:rPr>
              <w:t xml:space="preserve">—  </w:t>
            </w:r>
            <w:r>
              <w:rPr>
                <w:rFonts w:ascii="Arial" w:cs="Arial" w:eastAsia="Arial" w:hAnsi="Arial"/>
                <w:color w:val="333333"/>
                <w:sz w:val="20"/>
                <w:szCs w:val="20"/>
              </w:rPr>
              <w:t xml:space="preserve">Activity: short practice presentations with peer feedback</w:t>
            </w:r>
          </w:p>
        </w:tc>
      </w:tr>
      <w:tr>
        <w:tc>
          <w:tcPr>
            <w:tcW w:type="dxa" w:w="900"/>
            <w:tcBorders>
              <w:top w:val="none" w:color="FFFFFF" w:sz="0"/>
              <w:left w:val="none" w:color="FFFFFF" w:sz="0"/>
              <w:bottom w:val="none" w:color="FFFFFF" w:sz="0"/>
              <w:right w:val="none" w:color="FFFFFF" w:sz="0"/>
            </w:tcBorders>
            <w:shd w:fill="FFFFFF" w:val="clear"/>
            <w:tcMar>
              <w:top w:type="dxa" w:w="220"/>
              <w:left w:type="dxa" w:w="120"/>
              <w:bottom w:type="dxa" w:w="160"/>
              <w:right w:type="dxa" w:w="60"/>
            </w:tcMar>
            <w:vAlign w:val="top"/>
          </w:tcPr>
          <w:p>
            <w:pPr>
              <w:jc w:val="center"/>
            </w:pPr>
            <w:r>
              <w:drawing>
                <wp:inline distT="0" distB="0" distL="0" distR="0">
                  <wp:extent cx="381000" cy="38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381000" cy="381000"/>
                          </a:xfrm>
                          <a:prstGeom prst="rect">
                            <a:avLst/>
                          </a:prstGeom>
                        </pic:spPr>
                      </pic:pic>
                    </a:graphicData>
                  </a:graphic>
                </wp:inline>
              </w:drawing>
            </w:r>
          </w:p>
        </w:tc>
        <w:tc>
          <w:tcPr>
            <w:tcW w:type="dxa" w:w="9606"/>
            <w:tcBorders>
              <w:top w:val="none" w:color="FFFFFF" w:sz="0"/>
              <w:left w:val="none" w:color="FFFFFF" w:sz="0"/>
              <w:bottom w:val="none" w:color="FFFFFF" w:sz="0"/>
              <w:right w:val="none" w:color="FFFFFF" w:sz="0"/>
            </w:tcBorders>
            <w:shd w:fill="FFFFFF" w:val="clear"/>
            <w:tcMar>
              <w:top w:type="dxa" w:w="160"/>
              <w:left w:type="dxa" w:w="140"/>
              <w:bottom w:type="dxa" w:w="200"/>
              <w:right w:type="dxa" w:w="200"/>
            </w:tcMar>
            <w:vAlign w:val="top"/>
          </w:tcPr>
          <w:p>
            <w:pPr>
              <w:spacing w:after="80" w:before="40"/>
            </w:pPr>
            <w:r>
              <w:rPr>
                <w:rFonts w:ascii="Arial" w:cs="Arial" w:eastAsia="Arial" w:hAnsi="Arial"/>
                <w:b/>
                <w:bCs/>
                <w:color w:val="363C74"/>
                <w:sz w:val="22"/>
                <w:szCs w:val="22"/>
              </w:rPr>
              <w:t xml:space="preserve">Visual Aids, Audience Engagement and Handling Questions</w:t>
            </w:r>
          </w:p>
          <w:p>
            <w:pPr>
              <w:spacing w:after="90" w:line="280"/>
              <w:ind w:left="260"/>
            </w:pPr>
            <w:r>
              <w:rPr>
                <w:rFonts w:ascii="Arial" w:cs="Arial" w:eastAsia="Arial" w:hAnsi="Arial"/>
                <w:b/>
                <w:bCs/>
                <w:color w:val="AF006E"/>
                <w:sz w:val="20"/>
                <w:szCs w:val="20"/>
              </w:rPr>
              <w:t xml:space="preserve">—  </w:t>
            </w:r>
            <w:r>
              <w:rPr>
                <w:rFonts w:ascii="Arial" w:cs="Arial" w:eastAsia="Arial" w:hAnsi="Arial"/>
                <w:color w:val="333333"/>
                <w:sz w:val="20"/>
                <w:szCs w:val="20"/>
              </w:rPr>
              <w:t xml:space="preserve">When and how to use slides; designing clear, impactful visuals</w:t>
            </w:r>
          </w:p>
          <w:p>
            <w:pPr>
              <w:spacing w:after="90" w:line="280"/>
              <w:ind w:left="260"/>
            </w:pPr>
            <w:r>
              <w:rPr>
                <w:rFonts w:ascii="Arial" w:cs="Arial" w:eastAsia="Arial" w:hAnsi="Arial"/>
                <w:b/>
                <w:bCs/>
                <w:color w:val="AF006E"/>
                <w:sz w:val="20"/>
                <w:szCs w:val="20"/>
              </w:rPr>
              <w:t xml:space="preserve">—  </w:t>
            </w:r>
            <w:r>
              <w:rPr>
                <w:rFonts w:ascii="Arial" w:cs="Arial" w:eastAsia="Arial" w:hAnsi="Arial"/>
                <w:color w:val="333333"/>
                <w:sz w:val="20"/>
                <w:szCs w:val="20"/>
              </w:rPr>
              <w:t xml:space="preserve">Avoiding common slide mistakes</w:t>
            </w:r>
          </w:p>
          <w:p>
            <w:pPr>
              <w:spacing w:after="90" w:line="280"/>
              <w:ind w:left="260"/>
            </w:pPr>
            <w:r>
              <w:rPr>
                <w:rFonts w:ascii="Arial" w:cs="Arial" w:eastAsia="Arial" w:hAnsi="Arial"/>
                <w:b/>
                <w:bCs/>
                <w:color w:val="AF006E"/>
                <w:sz w:val="20"/>
                <w:szCs w:val="20"/>
              </w:rPr>
              <w:t xml:space="preserve">—  </w:t>
            </w:r>
            <w:r>
              <w:rPr>
                <w:rFonts w:ascii="Arial" w:cs="Arial" w:eastAsia="Arial" w:hAnsi="Arial"/>
                <w:color w:val="333333"/>
                <w:sz w:val="20"/>
                <w:szCs w:val="20"/>
              </w:rPr>
              <w:t xml:space="preserve">Techniques for interaction and involvement; asking effective questions</w:t>
            </w:r>
          </w:p>
          <w:p>
            <w:pPr>
              <w:spacing w:after="90" w:line="280"/>
              <w:ind w:left="260"/>
            </w:pPr>
            <w:r>
              <w:rPr>
                <w:rFonts w:ascii="Arial" w:cs="Arial" w:eastAsia="Arial" w:hAnsi="Arial"/>
                <w:b/>
                <w:bCs/>
                <w:color w:val="AF006E"/>
                <w:sz w:val="20"/>
                <w:szCs w:val="20"/>
              </w:rPr>
              <w:t xml:space="preserve">—  </w:t>
            </w:r>
            <w:r>
              <w:rPr>
                <w:rFonts w:ascii="Arial" w:cs="Arial" w:eastAsia="Arial" w:hAnsi="Arial"/>
                <w:color w:val="333333"/>
                <w:sz w:val="20"/>
                <w:szCs w:val="20"/>
              </w:rPr>
              <w:t xml:space="preserve">Using stories and examples to maintain interest</w:t>
            </w:r>
          </w:p>
          <w:p>
            <w:pPr>
              <w:spacing w:after="90" w:line="280"/>
              <w:ind w:left="260"/>
            </w:pPr>
            <w:r>
              <w:rPr>
                <w:rFonts w:ascii="Arial" w:cs="Arial" w:eastAsia="Arial" w:hAnsi="Arial"/>
                <w:b/>
                <w:bCs/>
                <w:color w:val="AF006E"/>
                <w:sz w:val="20"/>
                <w:szCs w:val="20"/>
              </w:rPr>
              <w:t xml:space="preserve">—  </w:t>
            </w:r>
            <w:r>
              <w:rPr>
                <w:rFonts w:ascii="Arial" w:cs="Arial" w:eastAsia="Arial" w:hAnsi="Arial"/>
                <w:color w:val="333333"/>
                <w:sz w:val="20"/>
                <w:szCs w:val="20"/>
              </w:rPr>
              <w:t xml:space="preserve">Managing Q&amp;A sessions and difficult questions or interruptions</w:t>
            </w:r>
          </w:p>
          <w:p>
            <w:pPr>
              <w:spacing w:after="90" w:line="280"/>
              <w:ind w:left="260"/>
            </w:pPr>
            <w:r>
              <w:rPr>
                <w:rFonts w:ascii="Arial" w:cs="Arial" w:eastAsia="Arial" w:hAnsi="Arial"/>
                <w:b/>
                <w:bCs/>
                <w:color w:val="AF006E"/>
                <w:sz w:val="20"/>
                <w:szCs w:val="20"/>
              </w:rPr>
              <w:t xml:space="preserve">—  </w:t>
            </w:r>
            <w:r>
              <w:rPr>
                <w:rFonts w:ascii="Arial" w:cs="Arial" w:eastAsia="Arial" w:hAnsi="Arial"/>
                <w:color w:val="333333"/>
                <w:sz w:val="20"/>
                <w:szCs w:val="20"/>
              </w:rPr>
              <w:t xml:space="preserve">Role-play: practice challenging Q&amp;A scenarios</w:t>
            </w:r>
          </w:p>
        </w:tc>
      </w:tr>
      <w:tr>
        <w:tc>
          <w:tcPr>
            <w:tcW w:type="dxa" w:w="900"/>
            <w:tcBorders>
              <w:top w:val="none" w:color="FFFFFF" w:sz="0"/>
              <w:left w:val="none" w:color="FFFFFF" w:sz="0"/>
              <w:bottom w:val="none" w:color="FFFFFF" w:sz="0"/>
              <w:right w:val="none" w:color="FFFFFF" w:sz="0"/>
            </w:tcBorders>
            <w:shd w:fill="F7F7F9" w:val="clear"/>
            <w:tcMar>
              <w:top w:type="dxa" w:w="220"/>
              <w:left w:type="dxa" w:w="120"/>
              <w:bottom w:type="dxa" w:w="160"/>
              <w:right w:type="dxa" w:w="60"/>
            </w:tcMar>
            <w:vAlign w:val="top"/>
          </w:tcPr>
          <w:p>
            <w:pPr>
              <w:jc w:val="center"/>
            </w:pPr>
            <w:r>
              <w:drawing>
                <wp:inline distT="0" distB="0" distL="0" distR="0">
                  <wp:extent cx="381000" cy="38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381000" cy="381000"/>
                          </a:xfrm>
                          <a:prstGeom prst="rect">
                            <a:avLst/>
                          </a:prstGeom>
                        </pic:spPr>
                      </pic:pic>
                    </a:graphicData>
                  </a:graphic>
                </wp:inline>
              </w:drawing>
            </w:r>
          </w:p>
        </w:tc>
        <w:tc>
          <w:tcPr>
            <w:tcW w:type="dxa" w:w="9606"/>
            <w:tcBorders>
              <w:top w:val="none" w:color="FFFFFF" w:sz="0"/>
              <w:left w:val="none" w:color="FFFFFF" w:sz="0"/>
              <w:bottom w:val="none" w:color="FFFFFF" w:sz="0"/>
              <w:right w:val="none" w:color="FFFFFF" w:sz="0"/>
            </w:tcBorders>
            <w:shd w:fill="F7F7F9" w:val="clear"/>
            <w:tcMar>
              <w:top w:type="dxa" w:w="160"/>
              <w:left w:type="dxa" w:w="140"/>
              <w:bottom w:type="dxa" w:w="200"/>
              <w:right w:type="dxa" w:w="200"/>
            </w:tcMar>
            <w:vAlign w:val="top"/>
          </w:tcPr>
          <w:p>
            <w:pPr>
              <w:spacing w:after="80" w:before="40"/>
            </w:pPr>
            <w:r>
              <w:rPr>
                <w:rFonts w:ascii="Arial" w:cs="Arial" w:eastAsia="Arial" w:hAnsi="Arial"/>
                <w:b/>
                <w:bCs/>
                <w:color w:val="363C74"/>
                <w:sz w:val="22"/>
                <w:szCs w:val="22"/>
              </w:rPr>
              <w:t xml:space="preserve">Presenting in Different Situations</w:t>
            </w:r>
          </w:p>
          <w:p>
            <w:pPr>
              <w:spacing w:after="90" w:line="280"/>
              <w:ind w:left="260"/>
            </w:pPr>
            <w:r>
              <w:rPr>
                <w:rFonts w:ascii="Arial" w:cs="Arial" w:eastAsia="Arial" w:hAnsi="Arial"/>
                <w:b/>
                <w:bCs/>
                <w:color w:val="AF006E"/>
                <w:sz w:val="20"/>
                <w:szCs w:val="20"/>
              </w:rPr>
              <w:t xml:space="preserve">—  </w:t>
            </w:r>
            <w:r>
              <w:rPr>
                <w:rFonts w:ascii="Arial" w:cs="Arial" w:eastAsia="Arial" w:hAnsi="Arial"/>
                <w:color w:val="333333"/>
                <w:sz w:val="20"/>
                <w:szCs w:val="20"/>
              </w:rPr>
              <w:t xml:space="preserve">Meetings, briefings and formal presentations</w:t>
            </w:r>
          </w:p>
          <w:p>
            <w:pPr>
              <w:spacing w:after="90" w:line="280"/>
              <w:ind w:left="260"/>
            </w:pPr>
            <w:r>
              <w:rPr>
                <w:rFonts w:ascii="Arial" w:cs="Arial" w:eastAsia="Arial" w:hAnsi="Arial"/>
                <w:b/>
                <w:bCs/>
                <w:color w:val="AF006E"/>
                <w:sz w:val="20"/>
                <w:szCs w:val="20"/>
              </w:rPr>
              <w:t xml:space="preserve">—  </w:t>
            </w:r>
            <w:r>
              <w:rPr>
                <w:rFonts w:ascii="Arial" w:cs="Arial" w:eastAsia="Arial" w:hAnsi="Arial"/>
                <w:color w:val="333333"/>
                <w:sz w:val="20"/>
                <w:szCs w:val="20"/>
              </w:rPr>
              <w:t xml:space="preserve">Virtual and hybrid presentation tips</w:t>
            </w:r>
          </w:p>
          <w:p>
            <w:pPr>
              <w:spacing w:after="90" w:line="280"/>
              <w:ind w:left="260"/>
            </w:pPr>
            <w:r>
              <w:rPr>
                <w:rFonts w:ascii="Arial" w:cs="Arial" w:eastAsia="Arial" w:hAnsi="Arial"/>
                <w:b/>
                <w:bCs/>
                <w:color w:val="AF006E"/>
                <w:sz w:val="20"/>
                <w:szCs w:val="20"/>
              </w:rPr>
              <w:t xml:space="preserve">—  </w:t>
            </w:r>
            <w:r>
              <w:rPr>
                <w:rFonts w:ascii="Arial" w:cs="Arial" w:eastAsia="Arial" w:hAnsi="Arial"/>
                <w:color w:val="333333"/>
                <w:sz w:val="20"/>
                <w:szCs w:val="20"/>
              </w:rPr>
              <w:t xml:space="preserve">Adjusting style for senior audiences or large groups</w:t>
            </w:r>
          </w:p>
        </w:tc>
      </w:tr>
      <w:tr>
        <w:tc>
          <w:tcPr>
            <w:tcW w:type="dxa" w:w="900"/>
            <w:tcBorders>
              <w:top w:val="none" w:color="FFFFFF" w:sz="0"/>
              <w:left w:val="none" w:color="FFFFFF" w:sz="0"/>
              <w:bottom w:val="none" w:color="FFFFFF" w:sz="0"/>
              <w:right w:val="none" w:color="FFFFFF" w:sz="0"/>
            </w:tcBorders>
            <w:shd w:fill="FFFFFF" w:val="clear"/>
            <w:tcMar>
              <w:top w:type="dxa" w:w="220"/>
              <w:left w:type="dxa" w:w="120"/>
              <w:bottom w:type="dxa" w:w="160"/>
              <w:right w:type="dxa" w:w="60"/>
            </w:tcMar>
            <w:vAlign w:val="top"/>
          </w:tcPr>
          <w:p>
            <w:pPr>
              <w:jc w:val="center"/>
            </w:pPr>
            <w:r>
              <w:drawing>
                <wp:inline distT="0" distB="0" distL="0" distR="0">
                  <wp:extent cx="381000" cy="38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381000" cy="381000"/>
                          </a:xfrm>
                          <a:prstGeom prst="rect">
                            <a:avLst/>
                          </a:prstGeom>
                        </pic:spPr>
                      </pic:pic>
                    </a:graphicData>
                  </a:graphic>
                </wp:inline>
              </w:drawing>
            </w:r>
          </w:p>
        </w:tc>
        <w:tc>
          <w:tcPr>
            <w:tcW w:type="dxa" w:w="9606"/>
            <w:tcBorders>
              <w:top w:val="none" w:color="FFFFFF" w:sz="0"/>
              <w:left w:val="none" w:color="FFFFFF" w:sz="0"/>
              <w:bottom w:val="none" w:color="FFFFFF" w:sz="0"/>
              <w:right w:val="none" w:color="FFFFFF" w:sz="0"/>
            </w:tcBorders>
            <w:shd w:fill="FFFFFF" w:val="clear"/>
            <w:tcMar>
              <w:top w:type="dxa" w:w="160"/>
              <w:left w:type="dxa" w:w="140"/>
              <w:bottom w:type="dxa" w:w="200"/>
              <w:right w:type="dxa" w:w="200"/>
            </w:tcMar>
            <w:vAlign w:val="top"/>
          </w:tcPr>
          <w:p>
            <w:pPr>
              <w:spacing w:after="80" w:before="40"/>
            </w:pPr>
            <w:r>
              <w:rPr>
                <w:rFonts w:ascii="Arial" w:cs="Arial" w:eastAsia="Arial" w:hAnsi="Arial"/>
                <w:b/>
                <w:bCs/>
                <w:color w:val="363C74"/>
                <w:sz w:val="22"/>
                <w:szCs w:val="22"/>
              </w:rPr>
              <w:t xml:space="preserve">Final Practice, Feedback and Action Planning</w:t>
            </w:r>
          </w:p>
          <w:p>
            <w:pPr>
              <w:spacing w:after="90" w:line="280"/>
              <w:ind w:left="260"/>
            </w:pPr>
            <w:r>
              <w:rPr>
                <w:rFonts w:ascii="Arial" w:cs="Arial" w:eastAsia="Arial" w:hAnsi="Arial"/>
                <w:b/>
                <w:bCs/>
                <w:color w:val="AF006E"/>
                <w:sz w:val="20"/>
                <w:szCs w:val="20"/>
              </w:rPr>
              <w:t xml:space="preserve">—  </w:t>
            </w:r>
            <w:r>
              <w:rPr>
                <w:rFonts w:ascii="Arial" w:cs="Arial" w:eastAsia="Arial" w:hAnsi="Arial"/>
                <w:color w:val="333333"/>
                <w:sz w:val="20"/>
                <w:szCs w:val="20"/>
              </w:rPr>
              <w:t xml:space="preserve">Each participant delivers a short presentation</w:t>
            </w:r>
          </w:p>
          <w:p>
            <w:pPr>
              <w:spacing w:after="90" w:line="280"/>
              <w:ind w:left="260"/>
            </w:pPr>
            <w:r>
              <w:rPr>
                <w:rFonts w:ascii="Arial" w:cs="Arial" w:eastAsia="Arial" w:hAnsi="Arial"/>
                <w:b/>
                <w:bCs/>
                <w:color w:val="AF006E"/>
                <w:sz w:val="20"/>
                <w:szCs w:val="20"/>
              </w:rPr>
              <w:t xml:space="preserve">—  </w:t>
            </w:r>
            <w:r>
              <w:rPr>
                <w:rFonts w:ascii="Arial" w:cs="Arial" w:eastAsia="Arial" w:hAnsi="Arial"/>
                <w:color w:val="333333"/>
                <w:sz w:val="20"/>
                <w:szCs w:val="20"/>
              </w:rPr>
              <w:t xml:space="preserve">Structured feedback from trainer and peers</w:t>
            </w:r>
          </w:p>
          <w:p>
            <w:pPr>
              <w:spacing w:after="90" w:line="280"/>
              <w:ind w:left="260"/>
            </w:pPr>
            <w:r>
              <w:rPr>
                <w:rFonts w:ascii="Arial" w:cs="Arial" w:eastAsia="Arial" w:hAnsi="Arial"/>
                <w:b/>
                <w:bCs/>
                <w:color w:val="AF006E"/>
                <w:sz w:val="20"/>
                <w:szCs w:val="20"/>
              </w:rPr>
              <w:t xml:space="preserve">—  </w:t>
            </w:r>
            <w:r>
              <w:rPr>
                <w:rFonts w:ascii="Arial" w:cs="Arial" w:eastAsia="Arial" w:hAnsi="Arial"/>
                <w:color w:val="333333"/>
                <w:sz w:val="20"/>
                <w:szCs w:val="20"/>
              </w:rPr>
              <w:t xml:space="preserve">Focus on strengths and development areas</w:t>
            </w:r>
          </w:p>
          <w:p>
            <w:pPr>
              <w:spacing w:after="90" w:line="280"/>
              <w:ind w:left="260"/>
            </w:pPr>
            <w:r>
              <w:rPr>
                <w:rFonts w:ascii="Arial" w:cs="Arial" w:eastAsia="Arial" w:hAnsi="Arial"/>
                <w:b/>
                <w:bCs/>
                <w:color w:val="AF006E"/>
                <w:sz w:val="20"/>
                <w:szCs w:val="20"/>
              </w:rPr>
              <w:t xml:space="preserve">—  </w:t>
            </w:r>
            <w:r>
              <w:rPr>
                <w:rFonts w:ascii="Arial" w:cs="Arial" w:eastAsia="Arial" w:hAnsi="Arial"/>
                <w:color w:val="333333"/>
                <w:sz w:val="20"/>
                <w:szCs w:val="20"/>
              </w:rPr>
              <w:t xml:space="preserve">Individual development plans</w:t>
            </w:r>
          </w:p>
          <w:p>
            <w:pPr>
              <w:spacing w:after="90" w:line="280"/>
              <w:ind w:left="260"/>
            </w:pPr>
            <w:r>
              <w:rPr>
                <w:rFonts w:ascii="Arial" w:cs="Arial" w:eastAsia="Arial" w:hAnsi="Arial"/>
                <w:b/>
                <w:bCs/>
                <w:color w:val="AF006E"/>
                <w:sz w:val="20"/>
                <w:szCs w:val="20"/>
              </w:rPr>
              <w:t xml:space="preserve">—  </w:t>
            </w:r>
            <w:r>
              <w:rPr>
                <w:rFonts w:ascii="Arial" w:cs="Arial" w:eastAsia="Arial" w:hAnsi="Arial"/>
                <w:color w:val="333333"/>
                <w:sz w:val="20"/>
                <w:szCs w:val="20"/>
              </w:rPr>
              <w:t xml:space="preserve">Key takeaways, course feedback and close</w:t>
            </w:r>
          </w:p>
        </w:tc>
      </w:tr>
    </w:tbl>
    <w:p>
      <w:pPr>
        <w:spacing w:after="160" w:before="320"/>
      </w:pPr>
    </w:p>
    <w:p>
      <w:pPr>
        <w:spacing w:after="160" w:before="0"/>
      </w:pPr>
      <w:r>
        <w:rPr>
          <w:rFonts w:ascii="Arial" w:cs="Arial" w:eastAsia="Arial" w:hAnsi="Arial"/>
          <w:b/>
          <w:bCs/>
          <w:caps/>
          <w:color w:val="363C74"/>
          <w:sz w:val="30"/>
          <w:szCs w:val="30"/>
        </w:rPr>
        <w:t xml:space="preserve">Course Details</w:t>
      </w:r>
    </w:p>
    <w:tbl>
      <w:tblPr>
        <w:tblW w:type="dxa" w:w="10506"/>
        <w:tblBorders>
          <w:top w:val="none" w:color="FFFFFF" w:sz="0"/>
          <w:left w:val="none" w:color="FFFFFF" w:sz="0"/>
          <w:bottom w:val="none" w:color="FFFFFF" w:sz="0"/>
          <w:right w:val="none" w:color="FFFFFF" w:sz="0"/>
          <w:insideH w:val="none" w:color="FFFFFF" w:sz="0"/>
          <w:insideV w:val="none" w:color="FFFFFF" w:sz="0"/>
        </w:tblBorders>
      </w:tblPr>
      <w:tblGrid>
        <w:gridCol w:w="3502"/>
        <w:gridCol w:w="3502"/>
        <w:gridCol w:w="3502"/>
      </w:tblGrid>
      <w:tr>
        <w:tc>
          <w:tcPr>
            <w:tcW w:type="dxa" w:w="3502"/>
            <w:tcBorders>
              <w:top w:val="none" w:color="FFFFFF" w:sz="0"/>
              <w:left w:val="none" w:color="FFFFFF" w:sz="0"/>
              <w:bottom w:val="none" w:color="FFFFFF" w:sz="0"/>
              <w:right w:val="none" w:color="FFFFFF" w:sz="0"/>
            </w:tcBorders>
            <w:shd w:fill="363C74" w:val="clear"/>
            <w:tcMar>
              <w:top w:type="dxa" w:w="120"/>
              <w:left w:type="dxa" w:w="160"/>
              <w:bottom w:type="dxa" w:w="120"/>
              <w:right w:type="dxa" w:w="160"/>
            </w:tcMar>
            <w:vAlign w:val="center"/>
          </w:tcPr>
          <w:p>
            <w:pPr>
              <w:spacing w:after="0"/>
              <w:jc w:val="center"/>
            </w:pPr>
            <w:r>
              <w:drawing>
                <wp:inline distT="0" distB="0" distL="0" distR="0">
                  <wp:extent cx="247650" cy="247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FFFFFF"/>
                <w:sz w:val="20"/>
                <w:szCs w:val="20"/>
              </w:rPr>
              <w:t xml:space="preserve">   16 November</w:t>
            </w:r>
          </w:p>
        </w:tc>
        <w:tc>
          <w:tcPr>
            <w:tcW w:type="dxa" w:w="3502"/>
            <w:tcBorders>
              <w:top w:val="none" w:color="FFFFFF" w:sz="0"/>
              <w:left w:val="none" w:color="FFFFFF" w:sz="0"/>
              <w:bottom w:val="none" w:color="FFFFFF" w:sz="0"/>
              <w:right w:val="none" w:color="FFFFFF" w:sz="0"/>
            </w:tcBorders>
            <w:shd w:fill="363C74" w:val="clear"/>
            <w:tcMar>
              <w:top w:type="dxa" w:w="120"/>
              <w:left w:type="dxa" w:w="160"/>
              <w:bottom w:type="dxa" w:w="120"/>
              <w:right w:type="dxa" w:w="160"/>
            </w:tcMar>
            <w:vAlign w:val="center"/>
          </w:tcPr>
          <w:p>
            <w:pPr>
              <w:spacing w:after="0"/>
              <w:jc w:val="center"/>
            </w:pPr>
            <w:r>
              <w:drawing>
                <wp:inline distT="0" distB="0" distL="0" distR="0">
                  <wp:extent cx="247650" cy="247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FFFFFF"/>
                <w:sz w:val="20"/>
                <w:szCs w:val="20"/>
              </w:rPr>
              <w:t xml:space="preserve">   One-Day Course</w:t>
            </w:r>
          </w:p>
        </w:tc>
        <w:tc>
          <w:tcPr>
            <w:tcW w:type="dxa" w:w="3502"/>
            <w:tcBorders>
              <w:top w:val="none" w:color="FFFFFF" w:sz="0"/>
              <w:left w:val="none" w:color="FFFFFF" w:sz="0"/>
              <w:bottom w:val="none" w:color="FFFFFF" w:sz="0"/>
              <w:right w:val="none" w:color="FFFFFF" w:sz="0"/>
            </w:tcBorders>
            <w:shd w:fill="363C74" w:val="clear"/>
            <w:tcMar>
              <w:top w:type="dxa" w:w="120"/>
              <w:left w:type="dxa" w:w="160"/>
              <w:bottom w:type="dxa" w:w="120"/>
              <w:right w:type="dxa" w:w="160"/>
            </w:tcMar>
            <w:vAlign w:val="center"/>
          </w:tcPr>
          <w:p>
            <w:pPr>
              <w:spacing w:after="0"/>
              <w:jc w:val="center"/>
            </w:pPr>
            <w:r>
              <w:drawing>
                <wp:inline distT="0" distB="0" distL="0" distR="0">
                  <wp:extent cx="247650" cy="247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FFFFFF"/>
                <w:sz w:val="20"/>
                <w:szCs w:val="20"/>
              </w:rPr>
              <w:t xml:space="preserve">   £250 per person</w:t>
            </w:r>
          </w:p>
        </w:tc>
      </w:tr>
    </w:tbl>
    <w:p>
      <w:r>
        <w:br w:type="page"/>
      </w:r>
    </w:p>
    <w:p>
      <w:pPr>
        <w:jc w:val="center"/>
      </w:pPr>
      <w:r>
        <w:rPr>
          <w:b/>
        </w:rPr>
        <w:t>Presentation Skills – Promotional Image</w:t>
      </w:r>
    </w:p>
    <w:p>
      <w:pPr>
        <w:jc w:val="center"/>
      </w:pPr>
      <w:r>
        <w:drawing>
          <wp:inline xmlns:a="http://schemas.openxmlformats.org/drawingml/2006/main" xmlns:pic="http://schemas.openxmlformats.org/drawingml/2006/picture">
            <wp:extent cx="5943600" cy="7081626"/>
            <wp:docPr id="2" name="Picture 2"/>
            <wp:cNvGraphicFramePr>
              <a:graphicFrameLocks noChangeAspect="1"/>
            </wp:cNvGraphicFramePr>
            <a:graphic>
              <a:graphicData uri="http://schemas.openxmlformats.org/drawingml/2006/picture">
                <pic:pic>
                  <pic:nvPicPr>
                    <pic:cNvPr id="0" name="a_detailed_poster_flyer_style_image_corporate_tra.png"/>
                    <pic:cNvPicPr/>
                  </pic:nvPicPr>
                  <pic:blipFill>
                    <a:blip r:embed="rId24"/>
                    <a:stretch>
                      <a:fillRect/>
                    </a:stretch>
                  </pic:blipFill>
                  <pic:spPr>
                    <a:xfrm>
                      <a:off x="0" y="0"/>
                      <a:ext cx="5943600" cy="7081626"/>
                    </a:xfrm>
                    <a:prstGeom prst="rect"/>
                  </pic:spPr>
                </pic:pic>
              </a:graphicData>
            </a:graphic>
          </wp:inline>
        </w:drawing>
      </w:r>
    </w:p>
    <w:sectPr>
      <w:footerReference w:type="default" r:id="rId7"/>
      <w:pgSz w:w="11906" w:h="16838" w:orient="portrait"/>
      <w:pgMar w:top="700" w:right="700" w:bottom="700" w:left="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dxa" w:w="10506"/>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dxa" w:w="10506"/>
          <w:tcBorders>
            <w:top w:val="none" w:color="FFFFFF" w:sz="0"/>
            <w:left w:val="none" w:color="FFFFFF" w:sz="0"/>
            <w:bottom w:val="none" w:color="FFFFFF" w:sz="0"/>
            <w:right w:val="none" w:color="FFFFFF" w:sz="0"/>
          </w:tcBorders>
          <w:shd w:fill="363C74" w:val="clear"/>
          <w:tcMar>
            <w:top w:type="dxa" w:w="120"/>
            <w:left w:type="dxa" w:w="160"/>
            <w:bottom w:type="dxa" w:w="120"/>
            <w:right w:type="dxa" w:w="160"/>
          </w:tcMar>
          <w:vAlign w:val="center"/>
        </w:tcPr>
        <w:p>
          <w:pPr>
            <w:spacing w:after="60" w:before="60"/>
            <w:jc w:val="center"/>
          </w:pPr>
          <w:r>
            <w:drawing>
              <wp:inline distT="0" distB="0" distL="0" distR="0">
                <wp:extent cx="1123950" cy="304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23950" cy="304800"/>
                        </a:xfrm>
                        <a:prstGeom prst="rect">
                          <a:avLst/>
                        </a:prstGeom>
                      </pic:spPr>
                    </pic:pic>
                  </a:graphicData>
                </a:graphic>
              </wp:inline>
            </w:drawing>
          </w:r>
          <w:r>
            <w:rPr>
              <w:rFonts w:ascii="Arial" w:cs="Arial" w:eastAsia="Arial" w:hAnsi="Arial"/>
              <w:color w:val="FFFFFF"/>
              <w:sz w:val="15"/>
              <w:szCs w:val="15"/>
            </w:rPr>
            <w:t xml:space="preserve">     Inverness  |  Highlands &amp; Moray</w:t>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8" Type="http://schemas.openxmlformats.org/officeDocument/2006/relationships/image" Target="media/82e177170ad22daf353637a41e4d9a9874d3a755.png"/><Relationship Id="rId13" Type="http://schemas.openxmlformats.org/officeDocument/2006/relationships/image" Target="media/acff2b3c0ea5abea62d536884cd6ccba6f6e8f33.png"/><Relationship Id="rId18" Type="http://schemas.openxmlformats.org/officeDocument/2006/relationships/image" Target="media/1cfc52f8f76c01d9ecf5f8fc89a47ec28c0a38b1.png"/><Relationship Id="rId3" Type="http://schemas.openxmlformats.org/officeDocument/2006/relationships/footnotes" Target="footnotes.xml"/><Relationship Id="rId21" Type="http://schemas.openxmlformats.org/officeDocument/2006/relationships/customXml" Target="../customXml/item1.xml"/><Relationship Id="rId7" Type="http://schemas.openxmlformats.org/officeDocument/2006/relationships/footer" Target="footer1.xml"/><Relationship Id="rId12" Type="http://schemas.openxmlformats.org/officeDocument/2006/relationships/image" Target="media/d90fc806f8e422dcd3dc3805dbf980e915851f22.png"/><Relationship Id="rId17" Type="http://schemas.openxmlformats.org/officeDocument/2006/relationships/image" Target="media/be98f6bc87aa149b4fe84c7c30a0ef17bbc23217.png"/><Relationship Id="rId2" Type="http://schemas.openxmlformats.org/officeDocument/2006/relationships/numbering" Target="numbering.xml"/><Relationship Id="rId16" Type="http://schemas.openxmlformats.org/officeDocument/2006/relationships/image" Target="media/2cc84a95c516f3f6246bd73f9a432b0270104b86.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image" Target="media/7d281cfc0f3fcfe113091875fabe4282d8178bcc.png"/><Relationship Id="rId5" Type="http://schemas.openxmlformats.org/officeDocument/2006/relationships/settings" Target="settings.xml"/><Relationship Id="rId15" Type="http://schemas.openxmlformats.org/officeDocument/2006/relationships/image" Target="media/7b0ebdf6e14088b9b887f2162e768e8d07d30fdc.png"/><Relationship Id="rId23" Type="http://schemas.openxmlformats.org/officeDocument/2006/relationships/customXml" Target="../customXml/item3.xml"/><Relationship Id="rId10" Type="http://schemas.openxmlformats.org/officeDocument/2006/relationships/image" Target="media/67839234c734e26a3a07c1e7974698a701739356.png"/><Relationship Id="rId19" Type="http://schemas.openxmlformats.org/officeDocument/2006/relationships/image" Target="media/2c4ede456b1c395c066c230fbd0377a5526e6078.png"/><Relationship Id="rId4" Type="http://schemas.openxmlformats.org/officeDocument/2006/relationships/endnotes" Target="endnotes.xml"/><Relationship Id="rId9" Type="http://schemas.openxmlformats.org/officeDocument/2006/relationships/image" Target="media/e6ba5bbbb24bba841f213fc92158e2794b54c2a2.png"/><Relationship Id="rId14" Type="http://schemas.openxmlformats.org/officeDocument/2006/relationships/image" Target="media/360c58648673472e4065e273c616b93ffc557024.png"/><Relationship Id="rId22" Type="http://schemas.openxmlformats.org/officeDocument/2006/relationships/customXml" Target="../customXml/item2.xml"/><Relationship Id="rId24" Type="http://schemas.openxmlformats.org/officeDocument/2006/relationships/image" Target="media/image1.png"/></Relationships>
</file>

<file path=word/_rels/footer1.xml.rels><?xml version='1.0' encoding='UTF-8' standalone='yes'?>
<Relationships xmlns="http://schemas.openxmlformats.org/package/2006/relationships"><Relationship Id="rId0" Type="http://schemas.openxmlformats.org/officeDocument/2006/relationships/image" Target="media/f820543d3c101c11ed6cf78ac2e787bf207db867.png"/></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8D7540D96FAA4B95B585039335E8F9" ma:contentTypeVersion="13" ma:contentTypeDescription="Create a new document." ma:contentTypeScope="" ma:versionID="419b831f2e10b386617e41b03a2bc43d">
  <xsd:schema xmlns:xsd="http://www.w3.org/2001/XMLSchema" xmlns:xs="http://www.w3.org/2001/XMLSchema" xmlns:p="http://schemas.microsoft.com/office/2006/metadata/properties" xmlns:ns2="d0cb6fef-f8c7-4b8d-a89e-fe954c6c3d42" xmlns:ns3="d9a76799-540e-4fcc-ac43-a921dad82b96" targetNamespace="http://schemas.microsoft.com/office/2006/metadata/properties" ma:root="true" ma:fieldsID="676295447e861db7428ea13e3d8af65e" ns2:_="" ns3:_="">
    <xsd:import namespace="d0cb6fef-f8c7-4b8d-a89e-fe954c6c3d42"/>
    <xsd:import namespace="d9a76799-540e-4fcc-ac43-a921dad82b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cb6fef-f8c7-4b8d-a89e-fe954c6c3d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dcde810-8b31-4526-816a-497fe4f3f71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a76799-540e-4fcc-ac43-a921dad82b9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c044ab-075f-4e3f-bfec-244031a14513}" ma:internalName="TaxCatchAll" ma:showField="CatchAllData" ma:web="d9a76799-540e-4fcc-ac43-a921dad82b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cb6fef-f8c7-4b8d-a89e-fe954c6c3d42">
      <Terms xmlns="http://schemas.microsoft.com/office/infopath/2007/PartnerControls"/>
    </lcf76f155ced4ddcb4097134ff3c332f>
    <TaxCatchAll xmlns="d9a76799-540e-4fcc-ac43-a921dad82b96" xsi:nil="true"/>
  </documentManagement>
</p:properties>
</file>

<file path=customXml/itemProps1.xml><?xml version="1.0" encoding="utf-8"?>
<ds:datastoreItem xmlns:ds="http://schemas.openxmlformats.org/officeDocument/2006/customXml" ds:itemID="{60795B05-A703-4E62-A065-E84D0AE4208C}"/>
</file>

<file path=customXml/itemProps2.xml><?xml version="1.0" encoding="utf-8"?>
<ds:datastoreItem xmlns:ds="http://schemas.openxmlformats.org/officeDocument/2006/customXml" ds:itemID="{9AF57DD9-2354-4F40-BFF6-C02EF447F64B}"/>
</file>

<file path=customXml/itemProps3.xml><?xml version="1.0" encoding="utf-8"?>
<ds:datastoreItem xmlns:ds="http://schemas.openxmlformats.org/officeDocument/2006/customXml" ds:itemID="{1C1D7F3F-F2D7-4AD6-AD66-C037196B6E43}"/>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2026-09-03T11:39:56Z</dcterms:created>
  <dcterms:modified xsi:type="dcterms:W3CDTF">2026-09-03T11:39:56Z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0x0101001A8D7540D96FAA4B95B585039335E8F9</vt:lpwstr>
  </property>
</Properties>
</file>